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suppressAutoHyphens w:val="false"/>
        <w:spacing w:lineRule="auto" w:line="257" w:before="0" w:after="0"/>
        <w:ind w:end="-766"/>
        <w:rPr>
          <w:color w:val="2E74B5"/>
          <w:sz w:val="26"/>
          <w:lang w:val="el-GR"/>
        </w:rPr>
      </w:pPr>
      <w:r>
        <w:rPr>
          <w:color w:val="2E74B5"/>
          <w:sz w:val="26"/>
          <w:lang w:val="el-GR"/>
        </w:rPr>
        <w:t>Υπόδειγμα</w:t>
      </w:r>
      <w:r>
        <w:rPr>
          <w:color w:val="2E74B5"/>
          <w:sz w:val="26"/>
          <w:lang w:val="en-US"/>
        </w:rPr>
        <w:t xml:space="preserve"> </w:t>
      </w:r>
      <w:r>
        <w:rPr>
          <w:color w:val="2E74B5"/>
          <w:sz w:val="26"/>
          <w:lang w:val="el-GR"/>
        </w:rPr>
        <w:t>Πίνακας Συμμόρφωσης ειδών:</w:t>
      </w:r>
    </w:p>
    <w:tbl>
      <w:tblPr>
        <w:tblW w:w="7912"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24"/>
        <w:gridCol w:w="4289"/>
        <w:gridCol w:w="630"/>
        <w:gridCol w:w="993"/>
        <w:gridCol w:w="876"/>
      </w:tblGrid>
      <w:tr>
        <w:trPr>
          <w:trHeight w:val="600" w:hRule="atLeast"/>
        </w:trPr>
        <w:tc>
          <w:tcPr>
            <w:tcW w:w="7912" w:type="dxa"/>
            <w:gridSpan w:val="5"/>
            <w:tcBorders>
              <w:top w:val="single" w:sz="4" w:space="0" w:color="000000"/>
              <w:start w:val="single" w:sz="4" w:space="0" w:color="000000"/>
              <w:bottom w:val="single" w:sz="4" w:space="0" w:color="000000"/>
              <w:end w:val="single" w:sz="4" w:space="0" w:color="000000"/>
            </w:tcBorders>
            <w:shd w:color="000000" w:fill="BDD6EE" w:val="clear"/>
            <w:vAlign w:val="center"/>
          </w:tcPr>
          <w:p>
            <w:pPr>
              <w:pStyle w:val="Normal"/>
              <w:suppressAutoHyphens w:val="false"/>
              <w:spacing w:before="0" w:after="0"/>
              <w:jc w:val="center"/>
              <w:rPr>
                <w:rFonts w:ascii="Tahoma" w:hAnsi="Tahoma" w:cs="Tahoma"/>
                <w:color w:val="000000"/>
                <w:sz w:val="18"/>
                <w:szCs w:val="18"/>
                <w:u w:val="double"/>
                <w:lang w:val="el-GR" w:eastAsia="el-GR"/>
              </w:rPr>
            </w:pPr>
            <w:r>
              <w:rPr>
                <w:rFonts w:eastAsia="DengXian" w:cs="Tahoma" w:ascii="Tahoma" w:hAnsi="Tahoma"/>
                <w:color w:val="000000"/>
                <w:sz w:val="18"/>
                <w:szCs w:val="18"/>
                <w:lang w:val="el-GR" w:eastAsia="el-GR"/>
              </w:rPr>
              <w:t xml:space="preserve">ΕΙΔΟΣ  </w:t>
            </w:r>
            <w:r>
              <w:rPr>
                <w:rFonts w:eastAsia="DengXian" w:cs="Tahoma" w:ascii="Tahoma" w:hAnsi="Tahoma"/>
                <w:color w:val="000000"/>
                <w:sz w:val="18"/>
                <w:szCs w:val="18"/>
                <w:lang w:val="el-GR" w:eastAsia="el-GR"/>
              </w:rPr>
              <w:t xml:space="preserve">Λογισμικό </w:t>
            </w:r>
            <w:r>
              <w:rPr>
                <w:rFonts w:eastAsia="DengXian" w:cs="Times New Roman" w:ascii="Tahoma" w:hAnsi="Tahoma"/>
                <w:color w:val="000000"/>
                <w:sz w:val="18"/>
                <w:szCs w:val="22"/>
                <w:u w:val="none"/>
                <w:lang w:val="el-GR" w:eastAsia="en-GB"/>
                <w14:ligatures w14:val="none"/>
              </w:rPr>
              <w:t>τρισδιάστατης μοντελοποίησης και σχεδίασης</w:t>
            </w:r>
          </w:p>
        </w:tc>
      </w:tr>
      <w:tr>
        <w:trPr>
          <w:trHeight w:val="654" w:hRule="atLeast"/>
        </w:trPr>
        <w:tc>
          <w:tcPr>
            <w:tcW w:w="1124"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Α/Α</w:t>
            </w:r>
          </w:p>
        </w:tc>
        <w:tc>
          <w:tcPr>
            <w:tcW w:w="4289"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ΑΝΑΛΥΤΙΚΗ ΠΕΡΙΓΡΑΦΗ ΠΡΟΔΙΑΓΡΑΦΩΝ</w:t>
            </w:r>
          </w:p>
        </w:tc>
        <w:tc>
          <w:tcPr>
            <w:tcW w:w="630"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ΑΠΑΙΤΗΣΗ</w:t>
            </w:r>
          </w:p>
        </w:tc>
        <w:tc>
          <w:tcPr>
            <w:tcW w:w="993"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ΑΠΑΝΤΗΣΗ</w:t>
            </w:r>
          </w:p>
        </w:tc>
        <w:tc>
          <w:tcPr>
            <w:tcW w:w="876"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ΠΑΡΑΠΟΜΠΗ</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w:t>
            </w:r>
          </w:p>
        </w:tc>
        <w:tc>
          <w:tcPr>
            <w:tcW w:w="4289"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(β)</w:t>
            </w:r>
          </w:p>
        </w:tc>
        <w:tc>
          <w:tcPr>
            <w:tcW w:w="630"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(γ)</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(δ)</w:t>
            </w:r>
          </w:p>
        </w:tc>
        <w:tc>
          <w:tcPr>
            <w:tcW w:w="876"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(ε)</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cs="Tahoma" w:ascii="Tahoma" w:hAnsi="Tahoma"/>
                <w:b/>
                <w:bCs/>
                <w:color w:val="000000"/>
                <w:sz w:val="18"/>
                <w:szCs w:val="18"/>
                <w:lang w:val="el-GR" w:eastAsia="el-GR"/>
              </w:rPr>
              <w:t>Α/Α </w:t>
            </w:r>
          </w:p>
        </w:tc>
        <w:tc>
          <w:tcPr>
            <w:tcW w:w="4289"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Γενικά Χαρακτηριστικά </w:t>
            </w:r>
          </w:p>
        </w:tc>
        <w:tc>
          <w:tcPr>
            <w:tcW w:w="630"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c>
          <w:tcPr>
            <w:tcW w:w="876"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r>
      <w:tr>
        <w:trPr>
          <w:trHeight w:val="428" w:hRule="atLeast"/>
        </w:trPr>
        <w:tc>
          <w:tcPr>
            <w:tcW w:w="1124"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1</w:t>
            </w:r>
          </w:p>
        </w:tc>
        <w:tc>
          <w:tcPr>
            <w:tcW w:w="428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Autospacing="1" w:afterAutospacing="1"/>
              <w:jc w:val="both"/>
              <w:rPr>
                <w:rFonts w:eastAsia="Times New Roman" w:cs="Times New Roman"/>
                <w:b/>
                <w:bCs/>
                <w:kern w:val="0"/>
                <w:lang w:val="el-GR" w:eastAsia="en-GB"/>
                <w14:ligatures w14:val="none"/>
              </w:rPr>
            </w:pPr>
            <w:r>
              <w:rPr>
                <w:rFonts w:cs="Times New Roman"/>
                <w:szCs w:val="22"/>
                <w:lang w:val="el-GR" w:eastAsia="en-GB"/>
                <w14:ligatures w14:val="none"/>
              </w:rPr>
              <w:t>Τ</w:t>
            </w:r>
            <w:r>
              <w:rPr>
                <w:rFonts w:cs="Times New Roman"/>
                <w:szCs w:val="22"/>
                <w:lang w:val="el-GR" w:eastAsia="en-GB"/>
                <w14:ligatures w14:val="none"/>
              </w:rPr>
              <w:t xml:space="preserve">ο </w:t>
            </w:r>
            <w:r>
              <w:rPr>
                <w:rFonts w:cs="Times New Roman"/>
                <w:szCs w:val="22"/>
                <w:lang w:val="el-GR" w:eastAsia="en-GB"/>
                <w14:ligatures w14:val="none"/>
              </w:rPr>
              <w:t>λογισμικό αυτό (ενδεικτικά:</w:t>
            </w:r>
            <w:r>
              <w:rPr>
                <w:rStyle w:val="Strong"/>
                <w:rFonts w:cs="Times New Roman"/>
                <w:szCs w:val="22"/>
                <w:lang w:val="el-GR" w:eastAsia="en-GB"/>
                <w14:ligatures w14:val="none"/>
              </w:rPr>
              <w:t>McNeil Rhinoceros 3D Full 8 for Windows and Mac - 30-user lab academic license (LabKit))</w:t>
            </w:r>
            <w:r>
              <w:rPr>
                <w:rFonts w:cs="Times New Roman"/>
                <w:szCs w:val="22"/>
                <w:lang w:val="el-GR" w:eastAsia="en-GB"/>
                <w14:ligatures w14:val="none"/>
              </w:rPr>
              <w:t xml:space="preserve">  </w:t>
            </w:r>
            <w:r>
              <w:rPr>
                <w:rFonts w:cs="Times New Roman"/>
                <w:szCs w:val="22"/>
                <w:lang w:val="el-GR" w:eastAsia="en-GB"/>
                <w14:ligatures w14:val="none"/>
              </w:rPr>
              <w:t xml:space="preserve"> είναι ένα εξαιρετικά ισχυρό εργαλείο τρισδιάστατης μοντελοποίησης και σχεδίασης. Το λογισμικό είναι κατάλληλο για επαγγελματίες και εκπαιδευτικούς χρήστες σε τομείς όπως η αρχιτεκτονική, ο βιομηχανικός σχεδιασμός, η μηχανική και η ψηφιακή παραγωγή.</w:t>
            </w:r>
          </w:p>
          <w:p>
            <w:pPr>
              <w:pStyle w:val="Heading3"/>
              <w:spacing w:before="0" w:after="280"/>
              <w:rPr>
                <w:rFonts w:ascii="Calibri" w:hAnsi="Calibri" w:eastAsia="Times New Roman" w:cs="Times New Roman"/>
                <w:b w:val="false"/>
                <w:bCs w:val="false"/>
                <w:sz w:val="22"/>
                <w:szCs w:val="22"/>
                <w:lang w:val="el-GR" w:eastAsia="en-GB"/>
                <w14:ligatures w14:val="none"/>
              </w:rPr>
            </w:pPr>
            <w:r>
              <w:rPr>
                <w:rFonts w:eastAsia="Times New Roman" w:cs="Times New Roman" w:ascii="Calibri" w:hAnsi="Calibri"/>
                <w:b w:val="false"/>
                <w:bCs w:val="false"/>
                <w:sz w:val="22"/>
                <w:szCs w:val="22"/>
                <w:lang w:val="el-GR" w:eastAsia="en-GB"/>
                <w14:ligatures w14:val="none"/>
              </w:rPr>
              <w:t>Χαρακτηριστικά της άδειας:</w:t>
            </w:r>
          </w:p>
          <w:p>
            <w:pPr>
              <w:pStyle w:val="BodyText"/>
              <w:numPr>
                <w:ilvl w:val="0"/>
                <w:numId w:val="1"/>
              </w:numPr>
              <w:tabs>
                <w:tab w:val="clear" w:pos="720"/>
                <w:tab w:val="left" w:pos="0" w:leader="none"/>
              </w:tabs>
              <w:spacing w:lineRule="auto" w:line="240" w:before="0" w:after="280"/>
              <w:ind w:hanging="283" w:start="709"/>
              <w:rPr>
                <w:rFonts w:cs="Times New Roman"/>
                <w:szCs w:val="22"/>
                <w:lang w:val="el-GR" w:eastAsia="en-GB"/>
                <w14:ligatures w14:val="none"/>
              </w:rPr>
            </w:pPr>
            <w:r>
              <w:rPr>
                <w:rStyle w:val="Strong"/>
                <w:rFonts w:cs="Times New Roman"/>
                <w:szCs w:val="22"/>
                <w:lang w:val="el-GR" w:eastAsia="en-GB"/>
                <w14:ligatures w14:val="none"/>
              </w:rPr>
              <w:t>Πλατφόρμες</w:t>
            </w:r>
            <w:r>
              <w:rPr>
                <w:rFonts w:cs="Times New Roman"/>
                <w:szCs w:val="22"/>
                <w:lang w:val="el-GR" w:eastAsia="en-GB"/>
                <w14:ligatures w14:val="none"/>
              </w:rPr>
              <w:t>: Διαθέσιμο για Windows και Mac.</w:t>
            </w:r>
          </w:p>
          <w:p>
            <w:pPr>
              <w:pStyle w:val="BodyText"/>
              <w:numPr>
                <w:ilvl w:val="0"/>
                <w:numId w:val="1"/>
              </w:numPr>
              <w:tabs>
                <w:tab w:val="clear" w:pos="720"/>
                <w:tab w:val="left" w:pos="0" w:leader="none"/>
              </w:tabs>
              <w:spacing w:lineRule="auto" w:line="240" w:before="0" w:after="280"/>
              <w:ind w:hanging="283" w:start="709"/>
              <w:rPr>
                <w:rFonts w:cs="Times New Roman"/>
                <w:szCs w:val="22"/>
                <w:lang w:val="el-GR" w:eastAsia="en-GB"/>
                <w14:ligatures w14:val="none"/>
              </w:rPr>
            </w:pPr>
            <w:r>
              <w:rPr>
                <w:rStyle w:val="Strong"/>
                <w:rFonts w:cs="Times New Roman"/>
                <w:szCs w:val="22"/>
                <w:lang w:val="el-GR" w:eastAsia="en-GB"/>
                <w14:ligatures w14:val="none"/>
              </w:rPr>
              <w:t>Άδεια Χρήσης</w:t>
            </w:r>
            <w:r>
              <w:rPr>
                <w:rFonts w:cs="Times New Roman"/>
                <w:szCs w:val="22"/>
                <w:lang w:val="el-GR" w:eastAsia="en-GB"/>
                <w14:ligatures w14:val="none"/>
              </w:rPr>
              <w:t>: Academic lab license (LabKit), που επιτρέπει την εγκατάσταση και χρήση του λογισμικού σε έως 30 υπολογιστές εντός ενός ακαδημαϊκού εργαστηρίου ή ερευνητικού περιβάλλοντος.</w:t>
            </w:r>
          </w:p>
          <w:p>
            <w:pPr>
              <w:pStyle w:val="BodyText"/>
              <w:numPr>
                <w:ilvl w:val="0"/>
                <w:numId w:val="1"/>
              </w:numPr>
              <w:tabs>
                <w:tab w:val="clear" w:pos="720"/>
                <w:tab w:val="left" w:pos="0" w:leader="none"/>
              </w:tabs>
              <w:spacing w:lineRule="auto" w:line="240" w:before="0" w:after="280"/>
              <w:ind w:hanging="283" w:start="709"/>
              <w:rPr>
                <w:rFonts w:cs="Times New Roman"/>
                <w:szCs w:val="22"/>
                <w:lang w:val="el-GR" w:eastAsia="en-GB"/>
                <w14:ligatures w14:val="none"/>
              </w:rPr>
            </w:pPr>
            <w:r>
              <w:rPr>
                <w:rStyle w:val="Strong"/>
                <w:rFonts w:cs="Times New Roman"/>
                <w:szCs w:val="22"/>
                <w:lang w:val="el-GR" w:eastAsia="en-GB"/>
                <w14:ligatures w14:val="none"/>
              </w:rPr>
              <w:t>Ακαδημαϊκή Χρήση</w:t>
            </w:r>
            <w:r>
              <w:rPr>
                <w:rFonts w:cs="Times New Roman"/>
                <w:szCs w:val="22"/>
                <w:lang w:val="el-GR" w:eastAsia="en-GB"/>
                <w14:ligatures w14:val="none"/>
              </w:rPr>
              <w:t>: Το πακέτο είναι διαθέσιμο σε εκπαιδευτικά ιδρύματα για εκπαιδευτικούς σκοπούς, παρέχοντας την πλήρη λειτουργικότητα του  σε ομάδες φοιτητών και καθηγητών.</w:t>
            </w:r>
          </w:p>
          <w:p>
            <w:pPr>
              <w:pStyle w:val="BodyText"/>
              <w:numPr>
                <w:ilvl w:val="0"/>
                <w:numId w:val="1"/>
              </w:numPr>
              <w:tabs>
                <w:tab w:val="clear" w:pos="720"/>
                <w:tab w:val="left" w:pos="0" w:leader="none"/>
              </w:tabs>
              <w:spacing w:lineRule="auto" w:line="240" w:before="0" w:after="280"/>
              <w:ind w:hanging="283" w:start="709"/>
              <w:rPr>
                <w:rFonts w:cs="Times New Roman"/>
                <w:szCs w:val="22"/>
                <w:lang w:val="el-GR" w:eastAsia="en-GB"/>
                <w14:ligatures w14:val="none"/>
              </w:rPr>
            </w:pPr>
            <w:r>
              <w:rPr>
                <w:rStyle w:val="Strong"/>
                <w:rFonts w:cs="Times New Roman"/>
                <w:szCs w:val="22"/>
                <w:lang w:val="el-GR" w:eastAsia="en-GB"/>
                <w14:ligatures w14:val="none"/>
              </w:rPr>
              <w:t>Ευκολία Συνεργασίας</w:t>
            </w:r>
            <w:r>
              <w:rPr>
                <w:rFonts w:cs="Times New Roman"/>
                <w:szCs w:val="22"/>
                <w:lang w:val="el-GR" w:eastAsia="en-GB"/>
                <w14:ligatures w14:val="none"/>
              </w:rPr>
              <w:t>: Ειδικά σχεδιασμένο για ομαδική δουλειά σε εργαστήρια και μεγάλες ομάδες χρηστών.</w:t>
            </w:r>
          </w:p>
          <w:p>
            <w:pPr>
              <w:pStyle w:val="Heading3"/>
              <w:spacing w:before="0" w:after="280"/>
              <w:rPr>
                <w:rFonts w:ascii="Calibri" w:hAnsi="Calibri" w:eastAsia="Times New Roman" w:cs="Times New Roman"/>
                <w:b w:val="false"/>
                <w:bCs w:val="false"/>
                <w:sz w:val="22"/>
                <w:szCs w:val="22"/>
                <w:lang w:val="el-GR" w:eastAsia="en-GB"/>
                <w14:ligatures w14:val="none"/>
              </w:rPr>
            </w:pPr>
            <w:r>
              <w:rPr>
                <w:rFonts w:eastAsia="Times New Roman" w:cs="Times New Roman" w:ascii="Calibri" w:hAnsi="Calibri"/>
                <w:b w:val="false"/>
                <w:bCs w:val="false"/>
                <w:sz w:val="22"/>
                <w:szCs w:val="22"/>
                <w:lang w:val="el-GR" w:eastAsia="en-GB"/>
                <w14:ligatures w14:val="none"/>
              </w:rPr>
              <w:t>Εφαρμογές:</w:t>
            </w:r>
          </w:p>
          <w:p>
            <w:pPr>
              <w:pStyle w:val="BodyText"/>
              <w:numPr>
                <w:ilvl w:val="0"/>
                <w:numId w:val="2"/>
              </w:numPr>
              <w:tabs>
                <w:tab w:val="clear" w:pos="720"/>
                <w:tab w:val="left" w:pos="0" w:leader="none"/>
              </w:tabs>
              <w:spacing w:lineRule="auto" w:line="240" w:before="0" w:after="280"/>
              <w:ind w:hanging="283" w:start="709"/>
              <w:rPr>
                <w:rFonts w:cs="Times New Roman"/>
                <w:szCs w:val="22"/>
                <w:lang w:val="el-GR" w:eastAsia="en-GB"/>
                <w14:ligatures w14:val="none"/>
              </w:rPr>
            </w:pPr>
            <w:r>
              <w:rPr>
                <w:rFonts w:cs="Times New Roman"/>
                <w:szCs w:val="22"/>
                <w:lang w:val="el-GR" w:eastAsia="en-GB"/>
                <w14:ligatures w14:val="none"/>
              </w:rPr>
              <w:t>Δημιουργία και τροποποίηση 3D μοντέλων με ακρίβεια.</w:t>
            </w:r>
          </w:p>
          <w:p>
            <w:pPr>
              <w:pStyle w:val="BodyText"/>
              <w:numPr>
                <w:ilvl w:val="0"/>
                <w:numId w:val="2"/>
              </w:numPr>
              <w:tabs>
                <w:tab w:val="clear" w:pos="720"/>
                <w:tab w:val="left" w:pos="0" w:leader="none"/>
              </w:tabs>
              <w:spacing w:lineRule="auto" w:line="240" w:before="0" w:after="280"/>
              <w:ind w:hanging="283" w:start="709"/>
              <w:rPr>
                <w:rFonts w:cs="Times New Roman"/>
                <w:szCs w:val="22"/>
                <w:lang w:val="el-GR" w:eastAsia="en-GB"/>
                <w14:ligatures w14:val="none"/>
              </w:rPr>
            </w:pPr>
            <w:r>
              <w:rPr>
                <w:rFonts w:cs="Times New Roman"/>
                <w:szCs w:val="22"/>
                <w:lang w:val="el-GR" w:eastAsia="en-GB"/>
                <w14:ligatures w14:val="none"/>
              </w:rPr>
              <w:t>Σχεδίαση για την παραγωγή φυσικών αντικειμένων μέσω τεχνικών όπως το 3D printing, CNC και laser cutting.</w:t>
            </w:r>
          </w:p>
          <w:p>
            <w:pPr>
              <w:pStyle w:val="BodyText"/>
              <w:numPr>
                <w:ilvl w:val="0"/>
                <w:numId w:val="2"/>
              </w:numPr>
              <w:tabs>
                <w:tab w:val="clear" w:pos="720"/>
                <w:tab w:val="left" w:pos="0" w:leader="none"/>
              </w:tabs>
              <w:spacing w:lineRule="auto" w:line="240" w:before="0" w:after="280"/>
              <w:ind w:hanging="283" w:start="709"/>
              <w:rPr>
                <w:rFonts w:cs="Times New Roman"/>
                <w:szCs w:val="22"/>
                <w:lang w:val="el-GR" w:eastAsia="en-GB"/>
                <w14:ligatures w14:val="none"/>
              </w:rPr>
            </w:pPr>
            <w:r>
              <w:rPr>
                <w:rFonts w:cs="Times New Roman"/>
                <w:szCs w:val="22"/>
                <w:lang w:val="el-GR" w:eastAsia="en-GB"/>
                <w14:ligatures w14:val="none"/>
              </w:rPr>
              <w:t>Δυνατότητες rendering και ανάλυσης για παρουσίαση και αξιολόγηση σχεδίων.</w:t>
            </w:r>
          </w:p>
          <w:p>
            <w:pPr>
              <w:pStyle w:val="BodyText"/>
              <w:spacing w:lineRule="auto" w:line="240" w:before="0" w:after="280"/>
              <w:rPr/>
            </w:pPr>
            <w:r>
              <w:rPr>
                <w:rFonts w:cs="Times New Roman"/>
                <w:szCs w:val="22"/>
                <w:lang w:val="el-GR" w:eastAsia="en-GB"/>
                <w14:ligatures w14:val="none"/>
              </w:rPr>
              <w:t xml:space="preserve">Το </w:t>
            </w:r>
            <w:r>
              <w:rPr>
                <w:rFonts w:cs="Times New Roman"/>
                <w:szCs w:val="22"/>
                <w:lang w:val="el-GR" w:eastAsia="en-GB"/>
                <w14:ligatures w14:val="none"/>
              </w:rPr>
              <w:t xml:space="preserve">λογισμικό </w:t>
            </w:r>
            <w:r>
              <w:rPr>
                <w:rFonts w:cs="Times New Roman"/>
                <w:szCs w:val="22"/>
                <w:lang w:val="el-GR" w:eastAsia="en-GB"/>
                <w14:ligatures w14:val="none"/>
              </w:rPr>
              <w:t>είναι ιδιαίτερα δημοφιλές λόγω της ισχυρής υποστήριξης για ακριβείς γεωμετρικές παραστάσεις και της ευελιξίας του για χρήση σε ένα ευρύ φάσμα βιομηχανιών. Με την academic license, οι φοιτητές και οι καθηγητές έχουν πλήρη πρόσβαση στις δυνατότητες του λογισμικού, ενώ η 30-χρηστών άδεια επιτρέπει την εύκολη και οικονομική διάθεση του λογισμικού σε μεγαλύτερα εργαστήρια ή ακαδημαϊκά τμήματα.</w:t>
            </w:r>
          </w:p>
        </w:tc>
        <w:tc>
          <w:tcPr>
            <w:tcW w:w="630"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ΝΑΙ</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 xml:space="preserve"> </w:t>
            </w:r>
          </w:p>
        </w:tc>
        <w:tc>
          <w:tcPr>
            <w:tcW w:w="876"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 xml:space="preserve"> </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eastAsia="DengXian" w:cs="Tahoma" w:ascii="Tahoma" w:hAnsi="Tahoma"/>
                <w:sz w:val="18"/>
                <w:szCs w:val="18"/>
                <w:lang w:val="el-GR" w:eastAsia="el-GR"/>
              </w:rPr>
              <w:t xml:space="preserve"> </w:t>
            </w:r>
          </w:p>
        </w:tc>
        <w:tc>
          <w:tcPr>
            <w:tcW w:w="4289"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cs="Tahoma" w:ascii="Tahoma" w:hAnsi="Tahoma"/>
                <w:sz w:val="18"/>
                <w:szCs w:val="18"/>
                <w:lang w:val="el-GR" w:eastAsia="el-GR"/>
              </w:rPr>
              <w:t>ΠΟΣΟΤΗΤΑ</w:t>
            </w:r>
          </w:p>
        </w:tc>
        <w:tc>
          <w:tcPr>
            <w:tcW w:w="630"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cs="Tahoma" w:ascii="Tahoma" w:hAnsi="Tahoma"/>
                <w:sz w:val="18"/>
                <w:szCs w:val="18"/>
                <w:lang w:val="el-GR" w:eastAsia="el-GR"/>
              </w:rPr>
              <w:t xml:space="preserve"> </w:t>
            </w:r>
            <w:r>
              <w:rPr>
                <w:rFonts w:cs="Tahoma" w:ascii="Tahoma" w:hAnsi="Tahoma"/>
                <w:sz w:val="18"/>
                <w:szCs w:val="18"/>
                <w:lang w:val="el-GR" w:eastAsia="el-GR"/>
              </w:rPr>
              <w:t>1</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val="el-GR" w:eastAsia="el-GR"/>
              </w:rPr>
              <w:t xml:space="preserve"> </w:t>
            </w:r>
          </w:p>
        </w:tc>
        <w:tc>
          <w:tcPr>
            <w:tcW w:w="876"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val="el-GR" w:eastAsia="el-GR"/>
              </w:rPr>
              <w:t xml:space="preserve"> </w:t>
            </w:r>
          </w:p>
        </w:tc>
      </w:tr>
    </w:tbl>
    <w:p>
      <w:pPr>
        <w:pStyle w:val="Normal"/>
        <w:spacing w:lineRule="auto" w:line="257" w:before="0" w:after="80"/>
        <w:jc w:val="start"/>
        <w:rPr>
          <w:lang w:val="el-GR"/>
        </w:rPr>
      </w:pPr>
      <w:r>
        <w:rPr>
          <w:rFonts w:cs="Times New Roman" w:ascii="Times New Roman" w:hAnsi="Times New Roman"/>
          <w:lang w:val="el-GR"/>
        </w:rPr>
        <w:t xml:space="preserve"> </w:t>
      </w:r>
    </w:p>
    <w:p>
      <w:pPr>
        <w:pStyle w:val="Normal"/>
        <w:widowControl/>
        <w:suppressAutoHyphens w:val="true"/>
        <w:bidi w:val="0"/>
        <w:spacing w:lineRule="auto" w:line="240" w:before="0" w:after="120"/>
        <w:jc w:val="both"/>
        <w:rPr/>
      </w:pPr>
      <w:r>
        <w:rPr/>
      </w:r>
    </w:p>
    <w:sectPr>
      <w:type w:val="nextPage"/>
      <w:pgSz w:w="11906" w:h="16838"/>
      <w:pgMar w:left="1800" w:right="180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OpenSymbol">
    <w:altName w:val="Arial Unicode MS"/>
    <w:charset w:val="02"/>
    <w:family w:val="auto"/>
    <w:pitch w:val="default"/>
  </w:font>
  <w:font w:name="Liberation Sans">
    <w:altName w:val="Arial"/>
    <w:charset w:val="01" w:characterSet="utf-8"/>
    <w:family w:val="swiss"/>
    <w:pitch w:val="variable"/>
  </w:font>
  <w:font w:name="Tahoma">
    <w:charset w:val="01" w:characterSet="utf-8"/>
    <w:family w:val="swiss"/>
    <w:pitch w:val="variable"/>
  </w:font>
  <w:font w:name="Times New Roman">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7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5f5c"/>
    <w:pPr>
      <w:widowControl/>
      <w:suppressAutoHyphens w:val="true"/>
      <w:bidi w:val="0"/>
      <w:spacing w:lineRule="auto" w:line="240" w:before="0" w:after="120"/>
      <w:jc w:val="both"/>
    </w:pPr>
    <w:rPr>
      <w:rFonts w:ascii="Calibri" w:hAnsi="Calibri" w:eastAsia="Times New Roman" w:cs="Calibri" w:asciiTheme="minorHAnsi" w:hAnsiTheme="minorHAnsi"/>
      <w:color w:val="auto"/>
      <w:kern w:val="0"/>
      <w:sz w:val="22"/>
      <w:szCs w:val="24"/>
      <w:lang w:val="en-GB" w:eastAsia="zh-CN" w:bidi="ar-SA"/>
    </w:rPr>
  </w:style>
  <w:style w:type="paragraph" w:styleId="Heading3">
    <w:name w:val="heading 3"/>
    <w:basedOn w:val="Heading"/>
    <w:next w:val="BodyText"/>
    <w:qFormat/>
    <w:pPr>
      <w:spacing w:before="140" w:after="120"/>
      <w:outlineLvl w:val="2"/>
    </w:pPr>
    <w:rPr>
      <w:rFonts w:ascii="Liberation Serif" w:hAnsi="Liberation Serif" w:eastAsia="DejaVu Sans" w:cs="Noto Sans Arabic"/>
      <w:b/>
      <w:bCs/>
      <w:sz w:val="28"/>
      <w:szCs w:val="28"/>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character" w:styleId="FollowedHyperlink">
    <w:name w:val="FollowedHyperlink"/>
    <w:rPr>
      <w:color w:val="800000"/>
      <w:u w:val="single"/>
    </w:rPr>
  </w:style>
  <w:style w:type="character" w:styleId="Strong">
    <w:name w:val="Strong"/>
    <w:qFormat/>
    <w:rPr>
      <w:b/>
      <w:bCs/>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ithoutspacing" w:customStyle="1">
    <w:name w:val="normal_without_spacing"/>
    <w:basedOn w:val="Normal"/>
    <w:qFormat/>
    <w:rsid w:val="00115f5c"/>
    <w:pPr>
      <w:spacing w:before="0" w:after="60"/>
    </w:pPr>
    <w:rPr>
      <w:lang w:val="el-GR"/>
    </w:rPr>
  </w:style>
  <w:style w:type="paragraph" w:styleId="ListParagraph">
    <w:name w:val="List Paragraph"/>
    <w:basedOn w:val="Normal"/>
    <w:qFormat/>
    <w:pPr>
      <w:spacing w:before="0" w:after="160"/>
      <w:ind w:start="720"/>
      <w:contextualSpacing/>
    </w:pPr>
    <w:rPr/>
  </w:style>
  <w:style w:type="paragraph" w:styleId="ListHeading">
    <w:name w:val="List Heading"/>
    <w:basedOn w:val="Normal"/>
    <w:next w:val="ListContents"/>
    <w:qFormat/>
    <w:pPr>
      <w:ind w:start="0"/>
    </w:pPr>
    <w:rPr/>
  </w:style>
  <w:style w:type="paragraph" w:styleId="ListContents">
    <w:name w:val="List Contents"/>
    <w:basedOn w:val="Normal"/>
    <w:qFormat/>
    <w:pPr>
      <w:ind w:start="567"/>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TotalTime>
  <Application>LibreOffice/25.2.6.2$Linux_X86_64 LibreOffice_project/520$Build-2</Application>
  <AppVersion>15.0000</AppVersion>
  <Pages>2</Pages>
  <Words>246</Words>
  <Characters>1537</Characters>
  <CharactersWithSpaces>1763</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2025-10-14T11:35:00Z</dcterms:created>
  <dc:creator>CHATZIGIANNIS KONSTANTINOS</dc:creator>
  <dc:description/>
  <dc:language>en-US</dc:language>
  <cp:lastModifiedBy/>
  <dcterms:modified xsi:type="dcterms:W3CDTF">2025-10-15T15:56:33Z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